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napToGrid w:val="0"/>
        <w:jc w:val="lef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网上报销系统（无纸化）报销指引</w:t>
      </w:r>
    </w:p>
    <w:p>
      <w:pPr>
        <w:pStyle w:val="3"/>
        <w:numPr>
          <w:ilvl w:val="0"/>
          <w:numId w:val="1"/>
        </w:numPr>
      </w:pPr>
      <w:r>
        <w:t>系统登录</w:t>
      </w:r>
    </w:p>
    <w:p>
      <w:pPr>
        <w:pStyle w:val="4"/>
        <w:numPr>
          <w:ilvl w:val="1"/>
          <w:numId w:val="1"/>
        </w:numPr>
      </w:pPr>
      <w:r>
        <w:t>PC网页端登录</w:t>
      </w:r>
      <w:r>
        <w:rPr>
          <w:color w:val="FF0000"/>
        </w:rPr>
        <w:t xml:space="preserve"> </w:t>
      </w:r>
    </w:p>
    <w:p>
      <w:pPr>
        <w:pBdr>
          <w:bottom w:val="none" w:color="auto" w:sz="0" w:space="0"/>
        </w:pBdr>
        <w:snapToGrid/>
        <w:spacing w:before="0" w:after="0" w:line="240" w:lineRule="auto"/>
        <w:ind w:left="0" w:right="0" w:firstLineChars="200"/>
        <w:rPr>
          <w:sz w:val="24"/>
        </w:rPr>
      </w:pPr>
      <w:r>
        <w:t>登录地址：</w:t>
      </w:r>
      <w:r>
        <w:rPr>
          <w:b/>
          <w:strike w:val="0"/>
          <w:color w:val="auto"/>
          <w:sz w:val="24"/>
        </w:rPr>
        <w:t>https://cw.jnu.edu.cn</w:t>
      </w:r>
    </w:p>
    <w:p>
      <w:pPr>
        <w:ind w:left="0" w:firstLineChars="0"/>
      </w:pPr>
      <w:r>
        <w:t xml:space="preserve">       左侧菜单进入 </w:t>
      </w:r>
      <w:r>
        <w:rPr>
          <w:rFonts w:ascii="宋体" w:hAnsi="宋体" w:eastAsia="宋体" w:cs="宋体"/>
          <w:i w:val="0"/>
          <w:strike w:val="0"/>
          <w:color w:val="1A1A1A"/>
          <w:sz w:val="21"/>
          <w:u w:val="none"/>
        </w:rPr>
        <w:t>→</w:t>
      </w:r>
      <w:r>
        <w:t>网上报销系统（无纸化）</w:t>
      </w:r>
    </w:p>
    <w:p>
      <w:pPr>
        <w:ind w:left="0" w:firstLineChars="0"/>
      </w:pPr>
      <w:r>
        <w:drawing>
          <wp:inline distT="0" distB="0" distL="0" distR="0">
            <wp:extent cx="5760085" cy="4661535"/>
            <wp:effectExtent l="0" t="0" r="0" b="0"/>
            <wp:docPr id="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descrip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6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left="0" w:firstLineChars="0"/>
      </w:pPr>
      <w:r>
        <w:drawing>
          <wp:inline distT="0" distB="0" distL="0" distR="0">
            <wp:extent cx="5760085" cy="3060700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descrip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color w:val="000000"/>
          <w:shd w:val="clear" w:color="auto" w:fill="FFFF00"/>
        </w:rPr>
      </w:pPr>
      <w:r>
        <w:rPr>
          <w:color w:val="000000"/>
        </w:rPr>
        <w:t xml:space="preserve">报销、借款申请 </w:t>
      </w:r>
    </w:p>
    <w:p>
      <w:pPr>
        <w:pBdr>
          <w:bottom w:val="none" w:color="auto" w:sz="0" w:space="0"/>
        </w:pBdr>
        <w:ind w:left="0" w:firstLineChars="200"/>
      </w:pPr>
      <w:r>
        <w:t>在报销、借款申请制单流程中，不同业务会根据业务需求要求输入、上传不同内容。操作指引将以日常业务为模板展示操作流程，特殊单据的如：借款、差旅行程表会另外说明。其他业务可参考指引再结合实际情况操作。</w:t>
      </w:r>
    </w:p>
    <w:p>
      <w:pPr>
        <w:pStyle w:val="4"/>
        <w:numPr>
          <w:ilvl w:val="1"/>
          <w:numId w:val="1"/>
        </w:numPr>
      </w:pPr>
      <w:r>
        <w:t>选择模板</w:t>
      </w:r>
    </w:p>
    <w:p>
      <w:pPr>
        <w:ind w:left="0"/>
      </w:pPr>
      <w:r>
        <w:tab/>
      </w:r>
      <w:r>
        <w:rPr>
          <w:color w:val="000000"/>
          <w:shd w:val="clear" w:color="auto" w:fill="FFFF00"/>
        </w:rPr>
        <w:t>方式一：可从首页直接选择报销、借款业务的报销模板进入对应制单流程。</w:t>
      </w:r>
    </w:p>
    <w:p>
      <w:pPr>
        <w:ind w:left="0"/>
      </w:pPr>
      <w:r>
        <w:drawing>
          <wp:inline distT="0" distB="0" distL="0" distR="0">
            <wp:extent cx="5760085" cy="3633470"/>
            <wp:effectExtent l="0" t="0" r="0" b="0"/>
            <wp:docPr id="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descrip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rPr>
          <w:shd w:val="clear" w:color="auto" w:fill="FFFF00"/>
        </w:rPr>
      </w:pPr>
      <w:r>
        <w:tab/>
      </w:r>
      <w:r>
        <w:rPr>
          <w:color w:val="000000"/>
          <w:shd w:val="clear" w:color="auto" w:fill="FFFF00"/>
        </w:rPr>
        <w:t>方式二：在单</w:t>
      </w:r>
      <w:r>
        <w:rPr>
          <w:shd w:val="clear" w:color="auto" w:fill="FFFF00"/>
        </w:rPr>
        <w:t>据列表中点击新增，在弹出的操作框中选择业务进入制单流程。</w:t>
      </w:r>
    </w:p>
    <w:p>
      <w:pPr>
        <w:ind w:left="0"/>
      </w:pPr>
      <w:r>
        <w:drawing>
          <wp:inline distT="0" distB="0" distL="0" distR="0">
            <wp:extent cx="5760085" cy="3558540"/>
            <wp:effectExtent l="0" t="0" r="0" b="0"/>
            <wp:docPr id="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55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填写基础信息</w:t>
      </w:r>
    </w:p>
    <w:p>
      <w:pPr>
        <w:pStyle w:val="5"/>
        <w:numPr>
          <w:ilvl w:val="2"/>
          <w:numId w:val="1"/>
        </w:numPr>
      </w:pPr>
      <w:r>
        <w:t>一般单据</w:t>
      </w:r>
    </w:p>
    <w:p>
      <w:pPr>
        <w:ind w:left="0"/>
      </w:pPr>
      <w:r>
        <w:tab/>
      </w:r>
      <w:r>
        <w:t>输入单据的基础信息</w:t>
      </w:r>
    </w:p>
    <w:p>
      <w:pPr>
        <w:ind w:left="0"/>
      </w:pPr>
      <w:r>
        <w:drawing>
          <wp:inline distT="0" distB="0" distL="0" distR="0">
            <wp:extent cx="5760085" cy="2845435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descrip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1"/>
        </w:numPr>
      </w:pPr>
      <w:r>
        <w:t>差旅单据</w:t>
      </w:r>
    </w:p>
    <w:p>
      <w:pPr>
        <w:ind w:left="0" w:firstLineChars="20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若是差旅类单据，需要在此环节补充出差人员信息，按页面要求如实输入内容即可。</w:t>
      </w:r>
    </w:p>
    <w:p>
      <w:pPr>
        <w:pBdr>
          <w:bottom w:val="none" w:color="auto" w:sz="0" w:space="0"/>
        </w:pBdr>
        <w:ind w:left="0" w:firstLineChars="0"/>
      </w:pPr>
      <w:r>
        <w:drawing>
          <wp:inline distT="0" distB="0" distL="0" distR="0">
            <wp:extent cx="5760085" cy="2705100"/>
            <wp:effectExtent l="0" t="0" r="0" b="0"/>
            <wp:docPr id="1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0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添加费用明细</w:t>
      </w:r>
    </w:p>
    <w:p>
      <w:pPr>
        <w:pStyle w:val="5"/>
        <w:numPr>
          <w:ilvl w:val="2"/>
          <w:numId w:val="1"/>
        </w:num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一般单据</w:t>
      </w:r>
    </w:p>
    <w:p>
      <w:pPr>
        <w:ind w:left="0"/>
        <w:rPr>
          <w:color w:val="000000"/>
          <w:shd w:val="clear" w:color="auto" w:fill="FFFF00"/>
        </w:rPr>
      </w:pPr>
      <w:r>
        <w:rPr>
          <w:color w:val="000000"/>
          <w:shd w:val="clear" w:color="auto" w:fill="FFFF00"/>
        </w:rPr>
        <w:t>方式一：添加发票自动填报</w:t>
      </w:r>
    </w:p>
    <w:p>
      <w:pPr>
        <w:ind w:left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上传后需点击刷新查验状态，选择查验通过的发票自动生成费用项。</w:t>
      </w:r>
    </w:p>
    <w:p>
      <w:pPr>
        <w:ind w:left="0"/>
        <w:rPr>
          <w:color w:val="FF0000"/>
          <w:shd w:val="clear" w:color="auto" w:fill="FFFF00"/>
        </w:rPr>
      </w:pPr>
      <w:r>
        <w:rPr>
          <w:color w:val="FF0000"/>
          <w:shd w:val="clear" w:color="auto" w:fill="FFFF00"/>
        </w:rPr>
        <w:drawing>
          <wp:inline distT="0" distB="0" distL="0" distR="0">
            <wp:extent cx="5760085" cy="1912620"/>
            <wp:effectExtent l="0" t="0" r="0" b="0"/>
            <wp:docPr id="1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1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rPr>
          <w:color w:val="000000"/>
          <w:shd w:val="clear" w:color="auto" w:fill="FFFF00"/>
        </w:rPr>
      </w:pPr>
      <w:r>
        <w:rPr>
          <w:color w:val="000000"/>
          <w:shd w:val="clear" w:color="auto" w:fill="FFFF00"/>
        </w:rPr>
        <w:t>方式二：点击“添加费用”，补充页面费用信息，并上传报销附件材料（</w:t>
      </w:r>
      <w:r>
        <w:rPr>
          <w:b w:val="0"/>
          <w:i w:val="0"/>
          <w:strike w:val="0"/>
          <w:color w:val="000000"/>
          <w:spacing w:val="0"/>
          <w:u w:val="none"/>
          <w:shd w:val="clear" w:color="auto" w:fill="FFFF00"/>
        </w:rPr>
        <w:t>支持上传 jpg，jpeg，png，pdf等格式文件）</w:t>
      </w:r>
    </w:p>
    <w:p>
      <w:pPr>
        <w:pBdr>
          <w:bottom w:val="none" w:color="auto" w:sz="0" w:space="0"/>
        </w:pBdr>
        <w:ind w:left="0"/>
        <w:rPr>
          <w:color w:val="FF0000"/>
          <w:shd w:val="clear" w:color="auto" w:fill="auto"/>
        </w:rPr>
      </w:pPr>
      <w:r>
        <w:rPr>
          <w:color w:val="FF0000"/>
          <w:shd w:val="clear" w:color="auto" w:fill="FFFF00"/>
        </w:rPr>
        <w:drawing>
          <wp:inline distT="0" distB="0" distL="0" distR="0">
            <wp:extent cx="5760085" cy="3495040"/>
            <wp:effectExtent l="0" t="0" r="0" b="0"/>
            <wp:docPr id="1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9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1"/>
        </w:numPr>
      </w:pPr>
      <w:r>
        <w:t>差旅业务单据-添加行程</w:t>
      </w:r>
    </w:p>
    <w:p>
      <w:pPr>
        <w:ind w:left="0"/>
      </w:pPr>
      <w:r>
        <w:tab/>
      </w:r>
      <w:r>
        <w:t>差旅单据需要添加行程表。支持直接添加行程，也可通过选择行程单类票据根据票据内容自动生成行程。行程添加成功后同时会自动生成相关费用项。</w:t>
      </w:r>
    </w:p>
    <w:p>
      <w:pPr>
        <w:ind w:left="0"/>
      </w:pPr>
      <w:r>
        <w:drawing>
          <wp:inline distT="0" distB="0" distL="0" distR="0">
            <wp:extent cx="5760085" cy="3458210"/>
            <wp:effectExtent l="0" t="0" r="0" b="0"/>
            <wp:docPr id="1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" descr="descrip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5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1"/>
        </w:numPr>
      </w:pPr>
      <w:r>
        <w:t>费用附件说明</w:t>
      </w:r>
    </w:p>
    <w:p>
      <w:pPr>
        <w:ind w:left="0" w:firstLineChars="200"/>
      </w:pPr>
      <w:r>
        <w:rPr>
          <w:b w:val="0"/>
          <w:i w:val="0"/>
          <w:strike w:val="0"/>
          <w:spacing w:val="0"/>
          <w:u w:val="none"/>
        </w:rPr>
        <w:t>所有的报销支撑材料都可以为电子版本，支持PDF或图片格式（ jpg，jpeg，png）</w:t>
      </w:r>
      <w:r>
        <w:t>。</w:t>
      </w:r>
    </w:p>
    <w:p>
      <w:pPr>
        <w:ind w:left="0" w:firstLineChars="200"/>
      </w:pPr>
      <w:r>
        <w:drawing>
          <wp:inline distT="0" distB="0" distL="0" distR="0">
            <wp:extent cx="5591175" cy="1038225"/>
            <wp:effectExtent l="0" t="0" r="0" b="0"/>
            <wp:docPr id="1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" descr="descrip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Chars="200"/>
      </w:pPr>
      <w:r>
        <w:t>若费用发票有相关支撑材料需要上传时，可以在发票列表上为该发票上传对应附件。</w:t>
      </w:r>
    </w:p>
    <w:p>
      <w:pPr>
        <w:pBdr>
          <w:bottom w:val="none" w:color="auto" w:sz="0" w:space="0"/>
        </w:pBdr>
        <w:ind w:left="0" w:firstLineChars="0"/>
      </w:pPr>
      <w:r>
        <w:drawing>
          <wp:inline distT="0" distB="0" distL="0" distR="0">
            <wp:extent cx="5760085" cy="4380230"/>
            <wp:effectExtent l="0" t="0" r="0" b="0"/>
            <wp:docPr id="2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8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</w:p>
    <w:p>
      <w:pPr>
        <w:pStyle w:val="4"/>
        <w:numPr>
          <w:ilvl w:val="1"/>
          <w:numId w:val="1"/>
        </w:numPr>
      </w:pPr>
      <w:r>
        <w:t>费用分摊</w:t>
      </w:r>
    </w:p>
    <w:p>
      <w:pPr>
        <w:ind w:left="0"/>
      </w:pPr>
      <w:r>
        <w:tab/>
      </w:r>
      <w:r>
        <w:t>进入费用分摊环节会显示前面已添加的项目，也可以重新选择分摊项目。单据中所有费用项金额都需要分摊到支出项目中。</w:t>
      </w:r>
    </w:p>
    <w:p>
      <w:pPr>
        <w:pBdr>
          <w:bottom w:val="none" w:color="auto" w:sz="0" w:space="0"/>
        </w:pBdr>
        <w:ind w:left="0"/>
      </w:pPr>
      <w:r>
        <w:drawing>
          <wp:inline distT="0" distB="0" distL="0" distR="0">
            <wp:extent cx="5760085" cy="1504950"/>
            <wp:effectExtent l="0" t="0" r="0" b="0"/>
            <wp:docPr id="2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0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</w:pPr>
      <w:r>
        <w:t>核销</w:t>
      </w:r>
    </w:p>
    <w:p>
      <w:pPr>
        <w:ind w:left="0" w:firstLineChars="200"/>
      </w:pPr>
      <w:r>
        <w:t>支持将单据金额冲销借款或核销公务卡付款记录，具体如下：</w:t>
      </w:r>
    </w:p>
    <w:p>
      <w:pPr>
        <w:numPr>
          <w:ilvl w:val="0"/>
          <w:numId w:val="2"/>
        </w:numPr>
      </w:pPr>
      <w:r>
        <w:t>核销借款</w:t>
      </w:r>
    </w:p>
    <w:p>
      <w:pPr>
        <w:numPr>
          <w:ilvl w:val="0"/>
          <w:numId w:val="3"/>
        </w:numPr>
      </w:pPr>
      <w:r>
        <w:t>个人借款</w:t>
      </w:r>
    </w:p>
    <w:p>
      <w:pPr>
        <w:ind w:leftChars="200" w:firstLineChars="0"/>
        <w:rPr>
          <w:color w:val="FF0000"/>
          <w:shd w:val="clear" w:color="auto" w:fill="FFFFFF"/>
        </w:rPr>
      </w:pPr>
      <w:r>
        <w:rPr>
          <w:color w:val="262626"/>
          <w:shd w:val="clear" w:color="auto" w:fill="FFFFFF"/>
        </w:rPr>
        <w:t>显示报账人作为借款责任人的借款记录（未完成冲账），支持部分或全额冲账</w:t>
      </w:r>
    </w:p>
    <w:p>
      <w:pPr>
        <w:numPr>
          <w:ilvl w:val="0"/>
          <w:numId w:val="3"/>
        </w:numPr>
        <w:rPr>
          <w:shd w:val="clear" w:color="auto" w:fill="FFFFFF"/>
        </w:rPr>
      </w:pPr>
      <w:r>
        <w:rPr>
          <w:shd w:val="clear" w:color="auto" w:fill="FFFFFF"/>
        </w:rPr>
        <w:t>项目借款：</w:t>
      </w:r>
    </w:p>
    <w:p>
      <w:pPr>
        <w:ind w:leftChars="200" w:firstLineChars="0"/>
        <w:rPr>
          <w:color w:val="262626"/>
          <w:shd w:val="clear" w:color="auto" w:fill="FFFFFF"/>
        </w:rPr>
      </w:pPr>
      <w:r>
        <w:rPr>
          <w:color w:val="262626"/>
          <w:shd w:val="clear" w:color="auto" w:fill="FFFFFF"/>
        </w:rPr>
        <w:t>显示与报账人管理项目关联的借款记录（未完成冲账），支持报账人处理该类借款冲销</w:t>
      </w:r>
    </w:p>
    <w:p>
      <w:pPr>
        <w:pBdr>
          <w:bottom w:val="none" w:color="auto" w:sz="0" w:space="0"/>
        </w:pBdr>
        <w:ind w:left="336"/>
      </w:pPr>
      <w:r>
        <w:drawing>
          <wp:inline distT="0" distB="0" distL="0" distR="0">
            <wp:extent cx="5546725" cy="1257300"/>
            <wp:effectExtent l="0" t="0" r="0" b="0"/>
            <wp:docPr id="2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12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</w:pPr>
      <w:r>
        <w:t>公务卡</w:t>
      </w:r>
    </w:p>
    <w:p>
      <w:pPr>
        <w:ind w:left="336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支持核销公务卡消费记录，选择目标公务卡后补充消费具体信息即可。</w:t>
      </w:r>
    </w:p>
    <w:p>
      <w:pPr>
        <w:ind w:left="0"/>
      </w:pPr>
      <w:r>
        <w:drawing>
          <wp:inline distT="0" distB="0" distL="0" distR="0">
            <wp:extent cx="5760085" cy="1000125"/>
            <wp:effectExtent l="0" t="0" r="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00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</w:pPr>
      <w:r>
        <w:t>添加收款信息</w:t>
      </w:r>
    </w:p>
    <w:p>
      <w:pPr>
        <w:ind w:left="0" w:firstLineChars="200"/>
      </w:pPr>
      <w:r>
        <w:t>为单据添加收款信息，支持添加单个或多个收款信息，不同报销、借款业务根据规则支持不同收款方式。</w:t>
      </w:r>
    </w:p>
    <w:p>
      <w:pPr>
        <w:ind w:left="0" w:firstLineChars="200"/>
        <w:rPr>
          <w:color w:val="FF0000"/>
        </w:rPr>
      </w:pPr>
      <w:r>
        <w:rPr>
          <w:color w:val="FF0000"/>
        </w:rPr>
        <w:t>如：需要同时转个人卡和对公汇款和时，点击</w:t>
      </w:r>
      <w:r>
        <w:rPr>
          <w:b/>
          <w:color w:val="FF0000"/>
          <w:shd w:val="clear" w:color="auto" w:fill="FFFF00"/>
        </w:rPr>
        <w:t>保存</w:t>
      </w:r>
      <w:r>
        <w:rPr>
          <w:b w:val="0"/>
          <w:color w:val="FF0000"/>
          <w:shd w:val="clear" w:color="auto" w:fill="auto"/>
        </w:rPr>
        <w:t>转个人卡</w:t>
      </w:r>
      <w:r>
        <w:rPr>
          <w:color w:val="FF0000"/>
        </w:rPr>
        <w:t>信息后，再点击</w:t>
      </w:r>
      <w:r>
        <w:rPr>
          <w:b/>
          <w:color w:val="FF0000"/>
        </w:rPr>
        <w:t>添加收款</w:t>
      </w:r>
      <w:r>
        <w:rPr>
          <w:color w:val="FF0000"/>
        </w:rPr>
        <w:t>并选择对公汇款信息即可。</w:t>
      </w:r>
    </w:p>
    <w:p>
      <w:pPr>
        <w:ind w:left="0"/>
      </w:pPr>
      <w:r>
        <w:drawing>
          <wp:inline distT="0" distB="0" distL="0" distR="0">
            <wp:extent cx="5760085" cy="3911600"/>
            <wp:effectExtent l="0" t="0" r="0" b="0"/>
            <wp:docPr id="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" descr="descrip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9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left="0"/>
      </w:pPr>
      <w:r>
        <w:drawing>
          <wp:inline distT="0" distB="0" distL="0" distR="0">
            <wp:extent cx="5760085" cy="2847975"/>
            <wp:effectExtent l="0" t="0" r="0" b="0"/>
            <wp:docPr id="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1"/>
          <w:numId w:val="1"/>
        </w:numPr>
      </w:pPr>
      <w:r>
        <w:t>添加审批人</w:t>
      </w:r>
    </w:p>
    <w:p>
      <w:pPr>
        <w:ind w:left="440" w:leftChars="200"/>
      </w:pPr>
      <w:r>
        <w:t>审批人环节为单据提交后线上审批环节的负责人。</w:t>
      </w:r>
    </w:p>
    <w:p>
      <w:pPr>
        <w:ind w:left="440" w:leftChars="200"/>
        <w:rPr>
          <w:color w:val="FF0000"/>
        </w:rPr>
      </w:pPr>
      <w:r>
        <w:rPr>
          <w:b w:val="0"/>
          <w:i w:val="0"/>
          <w:strike w:val="0"/>
          <w:color w:val="FF0000"/>
          <w:spacing w:val="0"/>
          <w:u w:val="none"/>
        </w:rPr>
        <w:t>温馨提示：系统会自动推送审批待办给相关项目负责人，无须制单人选择。</w:t>
      </w:r>
    </w:p>
    <w:p>
      <w:pPr>
        <w:pBdr>
          <w:bottom w:val="none" w:color="auto" w:sz="0" w:space="0"/>
        </w:pBdr>
        <w:ind w:left="0"/>
      </w:pPr>
      <w:r>
        <w:t xml:space="preserve">       系统会根据单据信息结合审批规则，自动控制环节是否必选及审批人自动指定的情况，其他情况下制单人可根据自身需要选择审批人，若无需要时可点击下一步进入后续环节。</w:t>
      </w:r>
    </w:p>
    <w:p>
      <w:pPr>
        <w:pStyle w:val="4"/>
        <w:numPr>
          <w:ilvl w:val="1"/>
          <w:numId w:val="1"/>
        </w:numPr>
      </w:pPr>
      <w:r>
        <w:t>汇总提交</w:t>
      </w:r>
    </w:p>
    <w:p>
      <w:pPr>
        <w:pBdr>
          <w:bottom w:val="none" w:color="auto" w:sz="0" w:space="0"/>
        </w:pBdr>
        <w:ind w:left="0"/>
      </w:pPr>
      <w:r>
        <w:tab/>
      </w:r>
      <w:r>
        <w:t>汇总显示单据各环节填写的内容，供制单人确认信息是否无误，若需要修改可点击跳转到具体环节调整。没问题则点击提交，单据进入审批审核流程。</w:t>
      </w:r>
    </w:p>
    <w:p>
      <w:pPr>
        <w:pStyle w:val="3"/>
        <w:numPr>
          <w:ilvl w:val="0"/>
          <w:numId w:val="1"/>
        </w:numPr>
      </w:pPr>
      <w:r>
        <w:t>单据查询及发票管理</w:t>
      </w:r>
    </w:p>
    <w:p>
      <w:pPr>
        <w:pStyle w:val="4"/>
        <w:ind w:left="0"/>
      </w:pPr>
      <w:r>
        <w:t>1.单据查询</w:t>
      </w:r>
    </w:p>
    <w:p>
      <w:pPr>
        <w:ind w:left="0" w:firstLineChars="200"/>
      </w:pPr>
      <w:r>
        <w:t>如果需要快速查询单据，在单据列表可以点单表头的搜索、筛选按钮，就会显示搜索操作。</w:t>
      </w:r>
    </w:p>
    <w:p>
      <w:pPr>
        <w:ind w:left="0" w:firstLineChars="0"/>
      </w:pPr>
      <w:r>
        <w:drawing>
          <wp:inline distT="0" distB="0" distL="0" distR="0">
            <wp:extent cx="5105400" cy="2486025"/>
            <wp:effectExtent l="0" t="0" r="0" b="0"/>
            <wp:docPr id="3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" descr="descrip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</w:pPr>
      <w:r>
        <w:tab/>
      </w:r>
      <w:r>
        <w:t>单据查询模块支持查看登录人作为不同角色时与其关联的单据（并非登录人创建的单据也可查看）。点击单据查询菜单，选择报销单查询或借款单查询进入查询功能，可选择多个角色，查看当作为不同角色时与其关联的单据。</w:t>
      </w:r>
    </w:p>
    <w:p>
      <w:pPr>
        <w:ind w:left="0" w:firstLineChars="200"/>
      </w:pPr>
      <w:r>
        <w:t>如：打开报销单查询，选择联系人，则显示以登录人作为联系人的所有报销单。</w:t>
      </w:r>
    </w:p>
    <w:p>
      <w:pPr>
        <w:pBdr>
          <w:bottom w:val="none" w:color="auto" w:sz="0" w:space="0"/>
        </w:pBdr>
        <w:ind w:left="0"/>
      </w:pPr>
      <w:r>
        <w:drawing>
          <wp:inline distT="0" distB="0" distL="0" distR="0">
            <wp:extent cx="5162550" cy="2324100"/>
            <wp:effectExtent l="0" t="0" r="0" b="0"/>
            <wp:docPr id="3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" descr="descrip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0"/>
      </w:pPr>
      <w:r>
        <w:t>2.发票管理</w:t>
      </w:r>
    </w:p>
    <w:p>
      <w:pPr>
        <w:pStyle w:val="5"/>
      </w:pPr>
      <w:r>
        <w:t>a)PC端—我的发票</w:t>
      </w:r>
    </w:p>
    <w:p>
      <w:pPr>
        <w:pBdr>
          <w:bottom w:val="none" w:color="auto" w:sz="0" w:space="0"/>
        </w:pBdr>
        <w:ind w:left="0" w:firstLineChars="200"/>
      </w:pPr>
      <w:r>
        <w:t>可提前在我的发票菜单上传发票并检验，用于后续报销。上传发票时注意需上传电子发票版式文件（pdf格式的原始文件）</w:t>
      </w:r>
      <w:r>
        <w:rPr>
          <w:b w:val="0"/>
          <w:i w:val="0"/>
          <w:strike w:val="0"/>
          <w:spacing w:val="0"/>
          <w:u w:val="none"/>
        </w:rPr>
        <w:t>。</w:t>
      </w:r>
    </w:p>
    <w:p>
      <w:pPr>
        <w:pStyle w:val="5"/>
        <w:ind w:left="0"/>
      </w:pPr>
      <w:r>
        <w:t>b)移动端</w:t>
      </w:r>
    </w:p>
    <w:p>
      <w:pPr>
        <w:numPr>
          <w:ilvl w:val="0"/>
          <w:numId w:val="4"/>
        </w:numPr>
        <w:snapToGrid w:val="0"/>
        <w:spacing w:before="60" w:after="60" w:line="312" w:lineRule="auto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i w:val="0"/>
          <w:strike w:val="0"/>
          <w:color w:val="333333"/>
          <w:sz w:val="22"/>
          <w:u w:val="none"/>
        </w:rPr>
        <w:t>暨南大学服务号→信息服务→微服务</w:t>
      </w:r>
    </w:p>
    <w:p>
      <w:pPr>
        <w:snapToGrid w:val="0"/>
        <w:spacing w:before="60" w:after="60" w:line="312" w:lineRule="auto"/>
        <w:ind w:left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3924300" cy="2657475"/>
            <wp:effectExtent l="0" t="0" r="0" b="0"/>
            <wp:docPr id="3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descrip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60" w:after="60" w:line="312" w:lineRule="auto"/>
        <w:ind w:left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4000500" cy="3448050"/>
            <wp:effectExtent l="0" t="0" r="0" b="0"/>
            <wp:docPr id="3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napToGrid w:val="0"/>
        <w:spacing w:before="60" w:after="60" w:line="312" w:lineRule="auto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i w:val="0"/>
          <w:strike w:val="0"/>
          <w:color w:val="333333"/>
          <w:sz w:val="22"/>
          <w:u w:val="none"/>
        </w:rPr>
        <w:t>进入【财务大厅】</w:t>
      </w:r>
    </w:p>
    <w:p>
      <w:pPr>
        <w:snapToGrid w:val="0"/>
        <w:spacing w:before="60" w:after="60" w:line="312" w:lineRule="auto"/>
        <w:ind w:left="0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3867150" cy="4657725"/>
            <wp:effectExtent l="0" t="0" r="0" b="0"/>
            <wp:docPr id="4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" descr="descrip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pBdr>
          <w:bottom w:val="none" w:color="auto" w:sz="0" w:space="0"/>
        </w:pBdr>
        <w:snapToGrid w:val="0"/>
        <w:spacing w:before="60" w:after="60" w:line="312" w:lineRule="auto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i w:val="0"/>
          <w:strike w:val="0"/>
          <w:color w:val="333333"/>
          <w:sz w:val="22"/>
          <w:u w:val="none"/>
        </w:rPr>
        <w:t>进入【我的发票】</w:t>
      </w:r>
    </w:p>
    <w:p>
      <w:pPr>
        <w:ind w:left="0"/>
      </w:pPr>
      <w:r>
        <w:drawing>
          <wp:inline distT="0" distB="0" distL="0" distR="0">
            <wp:extent cx="3914775" cy="2066925"/>
            <wp:effectExtent l="0" t="0" r="0" b="0"/>
            <wp:docPr id="4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descrip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left="0"/>
      </w:pPr>
      <w:r>
        <w:drawing>
          <wp:inline distT="0" distB="0" distL="0" distR="0">
            <wp:extent cx="3981450" cy="2057400"/>
            <wp:effectExtent l="0" t="0" r="0" b="0"/>
            <wp:docPr id="4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" descr="descrip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left="0"/>
      </w:pPr>
      <w:r>
        <w:tab/>
      </w:r>
      <w:r>
        <w:t>我的发票服务中支持多种发票上传方式，具体如下：</w:t>
      </w:r>
    </w:p>
    <w:p>
      <w:pPr>
        <w:numPr>
          <w:ilvl w:val="0"/>
          <w:numId w:val="5"/>
        </w:numPr>
        <w:pBdr>
          <w:bottom w:val="none" w:color="auto" w:sz="0" w:space="0"/>
        </w:pBdr>
      </w:pPr>
      <w:r>
        <w:t>1.微信：点击【微信】进入【微信选择发票】功能 ，可选择已同步发票包中的发票到系统保存。</w:t>
      </w:r>
    </w:p>
    <w:p>
      <w:pPr>
        <w:numPr>
          <w:ilvl w:val="0"/>
          <w:numId w:val="5"/>
        </w:numPr>
      </w:pPr>
      <w:r>
        <w:t>2.短信/连接：如有发票开具成功的短信通知，可复制短信内容到功能上并确认，系统会自动获取发票保存到系统；</w:t>
      </w:r>
    </w:p>
    <w:p>
      <w:pPr>
        <w:ind w:left="0" w:firstLineChars="200"/>
      </w:pPr>
      <w:r>
        <w:drawing>
          <wp:inline distT="0" distB="0" distL="0" distR="0">
            <wp:extent cx="3943350" cy="1943100"/>
            <wp:effectExtent l="0" t="0" r="0" b="0"/>
            <wp:docPr id="4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descrip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Chars="200"/>
      </w:pPr>
      <w:r>
        <w:drawing>
          <wp:inline distT="0" distB="0" distL="0" distR="0">
            <wp:extent cx="3895725" cy="3724275"/>
            <wp:effectExtent l="0" t="0" r="0" b="0"/>
            <wp:docPr id="4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descrip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5"/>
        </w:numPr>
      </w:pPr>
      <w:r>
        <w:t>3.文件导入：直接选择已保存到手机的发票文件，上传生成发票信息到系统。不同品牌、型号的手机上传文件的服务会有差异</w:t>
      </w:r>
    </w:p>
    <w:p>
      <w:pPr>
        <w:ind w:left="0"/>
      </w:pPr>
      <w:r>
        <w:tab/>
      </w:r>
      <w:r>
        <w:drawing>
          <wp:inline distT="0" distB="0" distL="0" distR="0">
            <wp:extent cx="3886200" cy="1524000"/>
            <wp:effectExtent l="0" t="0" r="0" b="0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</w:pPr>
      <w:r>
        <w:drawing>
          <wp:inline distT="0" distB="0" distL="0" distR="0">
            <wp:extent cx="3943350" cy="4857750"/>
            <wp:effectExtent l="0" t="0" r="0" b="0"/>
            <wp:docPr id="5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" descr="descript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left="0"/>
      </w:pPr>
    </w:p>
    <w:p>
      <w:pPr>
        <w:numPr>
          <w:ilvl w:val="0"/>
          <w:numId w:val="5"/>
        </w:numPr>
      </w:pPr>
      <w:r>
        <w:t>4.发票分享</w:t>
      </w:r>
    </w:p>
    <w:p>
      <w:pPr>
        <w:ind w:left="336"/>
      </w:pPr>
      <w:r>
        <w:drawing>
          <wp:inline distT="0" distB="0" distL="0" distR="0">
            <wp:extent cx="3164205" cy="6682740"/>
            <wp:effectExtent l="0" t="0" r="0" b="0"/>
            <wp:docPr id="5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417" cy="668274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45155" cy="6738620"/>
            <wp:effectExtent l="0" t="0" r="0" b="0"/>
            <wp:docPr id="5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" descr="descript"/>
                    <pic:cNvPicPr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5367" cy="673906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left="336"/>
      </w:pPr>
      <w:r>
        <w:drawing>
          <wp:inline distT="0" distB="0" distL="0" distR="0">
            <wp:extent cx="3296285" cy="7038975"/>
            <wp:effectExtent l="0" t="0" r="0" b="0"/>
            <wp:docPr id="5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" descr="descript"/>
                    <pic:cNvPicPr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6708" cy="703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</w:pPr>
      <w:r>
        <w:drawing>
          <wp:inline distT="0" distB="0" distL="0" distR="0">
            <wp:extent cx="3477260" cy="7475220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7684" cy="74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t>c)移动端开票指引</w:t>
      </w:r>
    </w:p>
    <w:p>
      <w:pPr>
        <w:pBdr>
          <w:bottom w:val="none" w:color="auto" w:sz="0" w:space="0"/>
        </w:pBdr>
        <w:ind w:left="0"/>
      </w:pPr>
      <w:r>
        <w:t>移动端开票支持发送到邮箱或微信上，以滴滴为例：</w:t>
      </w:r>
    </w:p>
    <w:p>
      <w:pPr>
        <w:ind w:left="440"/>
      </w:pPr>
      <w:r>
        <w:t>a.打开滴滴后点击【我的】</w:t>
      </w:r>
    </w:p>
    <w:p>
      <w:pPr>
        <w:ind w:left="440"/>
      </w:pPr>
      <w:r>
        <w:drawing>
          <wp:inline distT="0" distB="0" distL="0" distR="0">
            <wp:extent cx="3819525" cy="847725"/>
            <wp:effectExtent l="0" t="0" r="0" b="0"/>
            <wp:docPr id="6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" descr="descript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847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440"/>
      </w:pPr>
      <w:r>
        <w:t>b.在我的页点击【订单】进入订单页，进入后点击【开发票】按钮</w:t>
      </w:r>
    </w:p>
    <w:p>
      <w:pPr>
        <w:ind w:left="440"/>
      </w:pPr>
      <w:r>
        <w:drawing>
          <wp:inline distT="0" distB="0" distL="0" distR="0">
            <wp:extent cx="3905250" cy="3095625"/>
            <wp:effectExtent l="0" t="0" r="0" b="0"/>
            <wp:docPr id="6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descript"/>
                    <pic:cNvPicPr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095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440"/>
      </w:pPr>
      <w:r>
        <w:drawing>
          <wp:inline distT="0" distB="0" distL="0" distR="0">
            <wp:extent cx="3876675" cy="523875"/>
            <wp:effectExtent l="0" t="0" r="0" b="0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descript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440"/>
      </w:pPr>
      <w:r>
        <w:t>c.点击选择服务类型，如【网约车】，进入后选择发票并点击【下一步】</w:t>
      </w:r>
    </w:p>
    <w:p>
      <w:pPr>
        <w:ind w:left="440"/>
      </w:pPr>
      <w:r>
        <w:drawing>
          <wp:inline distT="0" distB="0" distL="0" distR="0">
            <wp:extent cx="3952875" cy="2943225"/>
            <wp:effectExtent l="0" t="0" r="0" b="0"/>
            <wp:docPr id="6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" descr="descript"/>
                    <pic:cNvPicPr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43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440"/>
      </w:pPr>
      <w:r>
        <w:drawing>
          <wp:inline distT="0" distB="0" distL="0" distR="0">
            <wp:extent cx="3971925" cy="2543175"/>
            <wp:effectExtent l="0" t="0" r="0" b="0"/>
            <wp:docPr id="6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" descr="descript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543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440"/>
      </w:pPr>
      <w:r>
        <w:t>d.进入开具页面，提供多种发票获取途径，支持同时启用，包括：</w:t>
      </w:r>
      <w:r>
        <w:br w:type="textWrapping"/>
      </w:r>
      <w:r>
        <w:tab/>
      </w:r>
      <w:r>
        <w:t>d1.电子邮箱，必填，可同时接收发票及相关附件，如：行程单；</w:t>
      </w:r>
      <w:r>
        <w:br w:type="textWrapping"/>
      </w:r>
      <w:r>
        <w:tab/>
      </w:r>
      <w:r>
        <w:t>d2.微信卡包，授权后新开发票可同步到微信卡包。但部分应用不支持，如饿了么、高德</w:t>
      </w:r>
    </w:p>
    <w:p>
      <w:pPr>
        <w:ind w:left="440"/>
      </w:pPr>
      <w:r>
        <w:drawing>
          <wp:inline distT="0" distB="0" distL="0" distR="0">
            <wp:extent cx="3962400" cy="8315325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descript"/>
                    <pic:cNvPicPr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831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pBdr>
          <w:bottom w:val="none" w:color="auto" w:sz="0" w:space="0"/>
        </w:pBdr>
        <w:ind w:left="440"/>
      </w:pPr>
      <w:r>
        <w:t>输入邮箱、授权微信卡包后，点击【提交】进，确认开票信息，确认无误后点击【确认提交】</w:t>
      </w:r>
    </w:p>
    <w:p>
      <w:pPr>
        <w:ind w:left="440"/>
      </w:pPr>
      <w:r>
        <w:drawing>
          <wp:inline distT="0" distB="0" distL="0" distR="0">
            <wp:extent cx="4019550" cy="4810125"/>
            <wp:effectExtent l="0" t="0" r="0" b="0"/>
            <wp:docPr id="7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" descr="descript"/>
                    <pic:cNvPicPr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810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440"/>
      </w:pPr>
      <w:r>
        <w:t>e.成功提交后，新开发票即自动同步到微信卡包及邮箱。</w:t>
      </w:r>
    </w:p>
    <w:p>
      <w:pPr>
        <w:ind w:left="440"/>
      </w:pPr>
      <w:r>
        <w:drawing>
          <wp:inline distT="0" distB="0" distL="0" distR="0">
            <wp:extent cx="3924300" cy="1628775"/>
            <wp:effectExtent l="0" t="0" r="0" b="0"/>
            <wp:docPr id="7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" descr="descript"/>
                    <pic:cNvPicPr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628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440"/>
      </w:pPr>
      <w:r>
        <w:drawing>
          <wp:inline distT="0" distB="0" distL="0" distR="0">
            <wp:extent cx="3905250" cy="1438275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descript"/>
                    <pic:cNvPicPr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43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440"/>
      </w:pPr>
      <w:r>
        <w:t>也可通过邮箱下载发票及行程单，需注意行程单目前只能通过邮箱下载获取</w:t>
      </w:r>
    </w:p>
    <w:p>
      <w:pPr>
        <w:ind w:left="440"/>
      </w:pPr>
      <w:r>
        <w:drawing>
          <wp:inline distT="0" distB="0" distL="0" distR="0">
            <wp:extent cx="5760085" cy="774065"/>
            <wp:effectExtent l="0" t="0" r="0" b="0"/>
            <wp:docPr id="7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" descr="descript"/>
                    <pic:cNvPicPr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74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440"/>
      </w:pPr>
      <w:r>
        <w:drawing>
          <wp:inline distT="0" distB="0" distL="0" distR="0">
            <wp:extent cx="5734050" cy="2038350"/>
            <wp:effectExtent l="0" t="0" r="0" b="0"/>
            <wp:docPr id="8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" descr="descript"/>
                    <pic:cNvPicPr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38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ind w:left="0" w:firstLineChars="200"/>
      </w:pPr>
      <w:r>
        <w:t>f.需注意，滴滴类业务报销一般要求提供行程单，而微信卡包只支持获取发票，所以报销此类业务时需要到邮箱中下载行程单方可完成报销。</w:t>
      </w:r>
    </w:p>
    <w:p>
      <w:pPr>
        <w:pBdr>
          <w:bottom w:val="none" w:color="auto" w:sz="0" w:space="0"/>
        </w:pBdr>
        <w:ind w:left="0"/>
      </w:pPr>
    </w:p>
    <w:p>
      <w:pPr>
        <w:pBdr>
          <w:bottom w:val="none" w:color="auto" w:sz="0" w:space="0"/>
        </w:pBdr>
        <w:ind w:left="0"/>
      </w:pPr>
    </w:p>
    <w:sectPr>
      <w:pgSz w:w="11905" w:h="16838"/>
      <w:pgMar w:top="1361" w:right="1417" w:bottom="1361" w:left="1417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5E306ED"/>
    <w:multiLevelType w:val="multilevel"/>
    <w:tmpl w:val="B5E306ED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）"/>
      <w:lvlJc w:val="left"/>
      <w:pPr>
        <w:ind w:left="360" w:hanging="36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lef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left"/>
      <w:pPr>
        <w:ind w:left="3780" w:hanging="420"/>
      </w:pPr>
    </w:lvl>
  </w:abstractNum>
  <w:abstractNum w:abstractNumId="2">
    <w:nsid w:val="CF092B84"/>
    <w:multiLevelType w:val="multilevel"/>
    <w:tmpl w:val="CF092B84"/>
    <w:lvl w:ilvl="0" w:tentative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65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¡"/>
      <w:lvlJc w:val="left"/>
      <w:pPr>
        <w:ind w:left="209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"/>
      <w:lvlJc w:val="left"/>
      <w:pPr>
        <w:ind w:left="25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97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¡"/>
      <w:lvlJc w:val="left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chineseCountingThousand"/>
      <w:lvlText w:val="%1、"/>
      <w:lvlJc w:val="left"/>
      <w:pPr>
        <w:ind w:left="462" w:hanging="462"/>
      </w:pPr>
    </w:lvl>
    <w:lvl w:ilvl="1" w:tentative="0">
      <w:start w:val="1"/>
      <w:numFmt w:val="decimal"/>
      <w:lvlText w:val="%2、"/>
      <w:lvlJc w:val="left"/>
      <w:pPr>
        <w:ind w:left="776" w:hanging="336"/>
      </w:pPr>
    </w:lvl>
    <w:lvl w:ilvl="2" w:tentative="0">
      <w:start w:val="1"/>
      <w:numFmt w:val="lowerLetter"/>
      <w:lvlText w:val="%3)"/>
      <w:lvlJc w:val="left"/>
      <w:pPr>
        <w:ind w:left="1216" w:hanging="336"/>
      </w:pPr>
    </w:lvl>
    <w:lvl w:ilvl="3" w:tentative="0">
      <w:start w:val="1"/>
      <w:numFmt w:val="chineseCountingThousand"/>
      <w:lvlText w:val="%4、"/>
      <w:lvlJc w:val="left"/>
      <w:pPr>
        <w:ind w:left="1782" w:hanging="462"/>
      </w:pPr>
    </w:lvl>
    <w:lvl w:ilvl="4" w:tentative="0">
      <w:start w:val="1"/>
      <w:numFmt w:val="decimal"/>
      <w:lvlText w:val="%5、"/>
      <w:lvlJc w:val="left"/>
      <w:pPr>
        <w:ind w:left="2096" w:hanging="336"/>
      </w:pPr>
    </w:lvl>
    <w:lvl w:ilvl="5" w:tentative="0">
      <w:start w:val="1"/>
      <w:numFmt w:val="lowerLetter"/>
      <w:lvlText w:val="%6)"/>
      <w:lvlJc w:val="left"/>
      <w:pPr>
        <w:ind w:left="2536" w:hanging="336"/>
      </w:pPr>
    </w:lvl>
    <w:lvl w:ilvl="6" w:tentative="0">
      <w:start w:val="1"/>
      <w:numFmt w:val="chineseCountingThousand"/>
      <w:lvlText w:val="%7、"/>
      <w:lvlJc w:val="left"/>
      <w:pPr>
        <w:ind w:left="3102" w:hanging="462"/>
      </w:pPr>
    </w:lvl>
    <w:lvl w:ilvl="7" w:tentative="0">
      <w:start w:val="1"/>
      <w:numFmt w:val="decimal"/>
      <w:lvlText w:val="%8、"/>
      <w:lvlJc w:val="left"/>
      <w:pPr>
        <w:ind w:left="3416" w:hanging="336"/>
      </w:p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672" w:hanging="336"/>
      </w:pPr>
    </w:lvl>
    <w:lvl w:ilvl="1" w:tentative="0">
      <w:start w:val="1"/>
      <w:numFmt w:val="lowerLetter"/>
      <w:lvlText w:val="%2."/>
      <w:lvlJc w:val="left"/>
      <w:pPr>
        <w:ind w:left="1112" w:hanging="336"/>
      </w:pPr>
    </w:lvl>
    <w:lvl w:ilvl="2" w:tentative="0">
      <w:start w:val="1"/>
      <w:numFmt w:val="lowerRoman"/>
      <w:lvlText w:val="%3."/>
      <w:lvlJc w:val="left"/>
      <w:pPr>
        <w:ind w:left="1552" w:hanging="336"/>
      </w:pPr>
    </w:lvl>
    <w:lvl w:ilvl="3" w:tentative="0">
      <w:start w:val="1"/>
      <w:numFmt w:val="decimal"/>
      <w:lvlText w:val="%4."/>
      <w:lvlJc w:val="left"/>
      <w:pPr>
        <w:ind w:left="1992" w:hanging="336"/>
      </w:pPr>
    </w:lvl>
    <w:lvl w:ilvl="4" w:tentative="0">
      <w:start w:val="1"/>
      <w:numFmt w:val="lowerLetter"/>
      <w:lvlText w:val="%5."/>
      <w:lvlJc w:val="left"/>
      <w:pPr>
        <w:ind w:left="2432" w:hanging="336"/>
      </w:pPr>
    </w:lvl>
    <w:lvl w:ilvl="5" w:tentative="0">
      <w:start w:val="1"/>
      <w:numFmt w:val="lowerRoman"/>
      <w:lvlText w:val="%6."/>
      <w:lvlJc w:val="left"/>
      <w:pPr>
        <w:ind w:left="2872" w:hanging="336"/>
      </w:pPr>
    </w:lvl>
    <w:lvl w:ilvl="6" w:tentative="0">
      <w:start w:val="1"/>
      <w:numFmt w:val="decimal"/>
      <w:lvlText w:val="%7."/>
      <w:lvlJc w:val="left"/>
      <w:pPr>
        <w:ind w:left="3312" w:hanging="336"/>
      </w:pPr>
    </w:lvl>
    <w:lvl w:ilvl="7" w:tentative="0">
      <w:start w:val="1"/>
      <w:numFmt w:val="lowerLetter"/>
      <w:lvlText w:val="%8."/>
      <w:lvlJc w:val="left"/>
      <w:pPr>
        <w:ind w:left="3752" w:hanging="336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667329A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paragraph" w:styleId="5">
    <w:name w:val="heading 4"/>
    <w:basedOn w:val="1"/>
    <w:next w:val="1"/>
    <w:qFormat/>
    <w:uiPriority w:val="9"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itle"/>
    <w:basedOn w:val="1"/>
    <w:next w:val="1"/>
    <w:qFormat/>
    <w:uiPriority w:val="9"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table" w:styleId="8">
    <w:name w:val="Table Grid"/>
    <w:basedOn w:val="7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10">
    <w:name w:val="Hyperlink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melo-codeblock-Base-theme-char"/>
    <w:qFormat/>
    <w:uiPriority w:val="0"/>
    <w:rPr>
      <w:rFonts w:ascii="Monaco" w:hAnsi="Monaco" w:eastAsia="Monaco" w:cs="Monaco"/>
      <w:color w:val="000000"/>
      <w:sz w:val="21"/>
    </w:rPr>
  </w:style>
  <w:style w:type="paragraph" w:customStyle="1" w:styleId="12">
    <w:name w:val="melo-codeblock-Base-theme-para"/>
    <w:basedOn w:val="1"/>
    <w:uiPriority w:val="0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Office_11.8.2.9015_F1E327BC-269C-435d-A152-05C5408002CA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2023-05-29T10:10:00Z</dcterms:created>
  <dc:creator>LAW</dc:creator>
  <cp:lastModifiedBy>nerazzurri</cp:lastModifiedBy>
  <dcterms:modified xsi:type="dcterms:W3CDTF">2023-05-29T02:22:15Z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</Properties>
</file>